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01D079F9" w14:textId="094383A4" w:rsidR="00D53DE0" w:rsidRPr="00D53DE0" w:rsidRDefault="005F65F9" w:rsidP="00D53DE0">
      <w:pPr>
        <w:widowControl w:val="0"/>
        <w:autoSpaceDE w:val="0"/>
        <w:autoSpaceDN w:val="0"/>
        <w:adjustRightInd w:val="0"/>
        <w:ind w:left="-11"/>
        <w:jc w:val="both"/>
        <w:rPr>
          <w:b/>
        </w:rPr>
      </w:pPr>
      <w:r>
        <w:rPr>
          <w:b/>
          <w:bCs/>
        </w:rPr>
        <w:t>Rozbudowę ul. Kochanowskiego w Olszewie – Borkach</w:t>
      </w: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 w:hint="eastAsia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dcterms:created xsi:type="dcterms:W3CDTF">2021-10-22T08:28:00Z</dcterms:created>
  <dcterms:modified xsi:type="dcterms:W3CDTF">2021-10-22T08:28:00Z</dcterms:modified>
</cp:coreProperties>
</file>